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206</w:t>
      </w:r>
    </w:p>
    <w:p>
      <w:r>
        <w:t>Bundesgericht (BGE), 1992-03-10, IT</w:t>
      </w:r>
    </w:p>
    <w:p>
      <w:r>
        <w:rPr>
          <w:b/>
        </w:rPr>
        <w:t xml:space="preserve">Quelle: </w:t>
      </w:r>
      <w:r>
        <w:t>https://mcp.opencaselaw.ch/entscheid/bge_118 II 206</w:t>
      </w:r>
    </w:p>
    <w:p>
      <w:r>
        <w:t>FR: ATF 118 II 206</w:t>
      </w:r>
    </w:p>
    <w:p>
      <w:r>
        <w:t>IT: DTF 118 II 206</w:t>
      </w:r>
    </w:p>
    <w:p>
      <w:pPr>
        <w:pStyle w:val="Heading2"/>
      </w:pPr>
      <w:r>
        <w:t>Regeste</w:t>
      </w:r>
    </w:p>
    <w:p>
      <w:r>
        <w:t>Regeste Direktprozess zwischen einem Kanton und Privaten (Art. 42 OG). 1. Zusammenfassung der Rechtsprechung zu den Eintretensvoraussetzungen und zum Begriff der zivilrechtlichen Streitigkeit im Sinn von Art. 42 OG (E. 2a-c). 2. Die Klage auf Herausgabe eines hinterlegten und anschliessend im Rahmen eines Strafverfahrens beschlagnahmten Geldbetrages fällt nicht unter den Begriff der Zivilrechtsstreitigkeit gemäss Art. 42 OG (Präzisierung der Rechtsprechung; E. 3a-b). Es besteht kein Anlass, den Begriff der Zivilsache auf derartige Fälle auszudehnen (E. 3c). 3. Die Klage auf Herausgabe kann mangels entsprechender Vorschriften auch nicht aus der Haftung des Gemeinwesens abgeleitet werden (E. 4).</w:t>
      </w:r>
    </w:p>
    <w:p>
      <w:pPr>
        <w:pStyle w:val="Heading2"/>
      </w:pPr>
      <w:r>
        <w:t>Erwägungen</w:t>
      </w:r>
    </w:p>
    <w:p>
      <w:r>
        <w:rPr>
          <w:b/>
        </w:rPr>
        <w:t>E. 4</w:t>
      </w:r>
    </w:p>
    <w:p>
      <w:r>
        <w:t>L'azione non può neppure essere fondata sulla responsabilità dell'ente pubblico. Al proposito l'attrice adduce che le autorità inquirenti ticinesi avrebbero ordinato il sequestro in modo illegale. Tuttavia, negli anni 1988 e 1989, periodo nel quale si sono svolti i fatti in discussione, nel Cantone Ticino non era ancora entrata in vigore la legge sulla responsabilità dell'ente pubblico (LResp). Questa porta infatti la data del 24 ottobre ed è entrata in vigore il 1o gennaio 1990 ed inoltre essa si applica solo all'atto illecito, causa del danno verificatosi dopo la sua entrata in vigore ( art. 32 LResp ). Prima del 1o gennaio 1990, nel Cantone Ticino, tranne alcune norme che regolavano la responsabilità personale di alcuni funzionari, non era prevista una responsabilità dell'ente pubblico per gli atti compiuti dai suoi agenti ( DTF 108 II 335 seg. consid. 3; cfr. inoltre BIANCHI, Ente pubblico e responsabilità per illecito, in: RDAT 1979, pag. 265 segg.). Nella petizione l'attrice solleva anche la questione di sapere se in concreto non vi sia un contratto di diritto amministrativo. A questo quesito dà poi essa stessa - a ragione - risposta negativa. Il sequestro della somma depositata costituisce infatti un atto d'imperio statale, anche nell'ipotesi in cui l'attrice e suo marito hanno proceduto al deposito più o meno spontaneamente.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